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一百零二、霸州市扬芬港镇第一小学收支预算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351.37</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351.37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351.37</w:t>
            </w:r>
          </w:p>
        </w:tc>
        <w:tc>
          <w:tcPr>
            <w:tcW w:w="4535" w:type="dxa"/>
            <w:vAlign w:val="center"/>
          </w:tcPr>
          <w:p>
            <w:pPr>
              <w:pStyle w:val="26"/>
            </w:pPr>
            <w:r>
              <w:t>本年支出合计</w:t>
            </w:r>
          </w:p>
        </w:tc>
        <w:tc>
          <w:tcPr>
            <w:tcW w:w="2126" w:type="dxa"/>
            <w:vAlign w:val="center"/>
          </w:tcPr>
          <w:p>
            <w:pPr>
              <w:pStyle w:val="27"/>
            </w:pPr>
            <w:r>
              <w:t>351.37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351.37</w:t>
            </w:r>
          </w:p>
        </w:tc>
        <w:tc>
          <w:tcPr>
            <w:tcW w:w="4535" w:type="dxa"/>
            <w:vAlign w:val="center"/>
          </w:tcPr>
          <w:p>
            <w:pPr>
              <w:pStyle w:val="26"/>
            </w:pPr>
            <w:r>
              <w:t>支出总计</w:t>
            </w:r>
          </w:p>
        </w:tc>
        <w:tc>
          <w:tcPr>
            <w:tcW w:w="2126" w:type="dxa"/>
            <w:vAlign w:val="center"/>
          </w:tcPr>
          <w:p>
            <w:pPr>
              <w:pStyle w:val="27"/>
            </w:pPr>
            <w:r>
              <w:t>351.37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501617霸州市扬芬港镇第一小学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351.37</w:t>
            </w:r>
          </w:p>
        </w:tc>
        <w:tc>
          <w:tcPr>
            <w:tcW w:w="1134" w:type="dxa"/>
            <w:vAlign w:val="center"/>
          </w:tcPr>
          <w:p>
            <w:pPr>
              <w:pStyle w:val="27"/>
            </w:pPr>
            <w:r>
              <w:t>351.37</w:t>
            </w:r>
          </w:p>
        </w:tc>
        <w:tc>
          <w:tcPr>
            <w:tcW w:w="1134" w:type="dxa"/>
            <w:vAlign w:val="center"/>
          </w:tcPr>
          <w:p>
            <w:pPr>
              <w:pStyle w:val="27"/>
            </w:pPr>
            <w:r>
              <w:t>351.37</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351.37</w:t>
            </w:r>
          </w:p>
        </w:tc>
        <w:tc>
          <w:tcPr>
            <w:tcW w:w="1134" w:type="dxa"/>
            <w:vAlign w:val="center"/>
          </w:tcPr>
          <w:p>
            <w:pPr>
              <w:pStyle w:val="23"/>
            </w:pPr>
            <w:r>
              <w:t>351.37</w:t>
            </w:r>
          </w:p>
        </w:tc>
        <w:tc>
          <w:tcPr>
            <w:tcW w:w="1134" w:type="dxa"/>
            <w:vAlign w:val="center"/>
          </w:tcPr>
          <w:p>
            <w:pPr>
              <w:pStyle w:val="23"/>
            </w:pPr>
            <w:r>
              <w:t>351.37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351.37</w:t>
            </w:r>
          </w:p>
        </w:tc>
        <w:tc>
          <w:tcPr>
            <w:tcW w:w="1134" w:type="dxa"/>
            <w:vAlign w:val="center"/>
          </w:tcPr>
          <w:p>
            <w:pPr>
              <w:pStyle w:val="23"/>
            </w:pPr>
            <w:r>
              <w:t>351.37</w:t>
            </w:r>
          </w:p>
        </w:tc>
        <w:tc>
          <w:tcPr>
            <w:tcW w:w="1134" w:type="dxa"/>
            <w:vAlign w:val="center"/>
          </w:tcPr>
          <w:p>
            <w:pPr>
              <w:pStyle w:val="23"/>
            </w:pPr>
            <w:r>
              <w:t>351.37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24.48</w:t>
            </w:r>
          </w:p>
        </w:tc>
        <w:tc>
          <w:tcPr>
            <w:tcW w:w="1134" w:type="dxa"/>
            <w:vAlign w:val="center"/>
          </w:tcPr>
          <w:p>
            <w:pPr>
              <w:pStyle w:val="23"/>
            </w:pPr>
            <w:r>
              <w:t>24.48</w:t>
            </w:r>
          </w:p>
        </w:tc>
        <w:tc>
          <w:tcPr>
            <w:tcW w:w="1134" w:type="dxa"/>
            <w:vAlign w:val="center"/>
          </w:tcPr>
          <w:p>
            <w:pPr>
              <w:pStyle w:val="23"/>
            </w:pPr>
            <w:r>
              <w:t>24.48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326.89</w:t>
            </w:r>
          </w:p>
        </w:tc>
        <w:tc>
          <w:tcPr>
            <w:tcW w:w="1134" w:type="dxa"/>
            <w:vAlign w:val="center"/>
          </w:tcPr>
          <w:p>
            <w:pPr>
              <w:pStyle w:val="23"/>
            </w:pPr>
            <w:r>
              <w:t>326.89</w:t>
            </w:r>
          </w:p>
        </w:tc>
        <w:tc>
          <w:tcPr>
            <w:tcW w:w="1134" w:type="dxa"/>
            <w:vAlign w:val="center"/>
          </w:tcPr>
          <w:p>
            <w:pPr>
              <w:pStyle w:val="23"/>
            </w:pPr>
            <w:r>
              <w:t>326.89</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351.37</w:t>
            </w:r>
          </w:p>
        </w:tc>
        <w:tc>
          <w:tcPr>
            <w:tcW w:w="1361" w:type="dxa"/>
            <w:vAlign w:val="center"/>
          </w:tcPr>
          <w:p>
            <w:pPr>
              <w:pStyle w:val="27"/>
            </w:pPr>
            <w:r>
              <w:t>302.95</w:t>
            </w:r>
          </w:p>
        </w:tc>
        <w:tc>
          <w:tcPr>
            <w:tcW w:w="1361" w:type="dxa"/>
            <w:vAlign w:val="center"/>
          </w:tcPr>
          <w:p>
            <w:pPr>
              <w:pStyle w:val="27"/>
            </w:pPr>
            <w:r>
              <w:t>48.42</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351.37</w:t>
            </w:r>
          </w:p>
        </w:tc>
        <w:tc>
          <w:tcPr>
            <w:tcW w:w="1361" w:type="dxa"/>
            <w:vAlign w:val="center"/>
          </w:tcPr>
          <w:p>
            <w:pPr>
              <w:pStyle w:val="23"/>
            </w:pPr>
            <w:r>
              <w:t>302.95</w:t>
            </w:r>
          </w:p>
        </w:tc>
        <w:tc>
          <w:tcPr>
            <w:tcW w:w="1361" w:type="dxa"/>
            <w:vAlign w:val="center"/>
          </w:tcPr>
          <w:p>
            <w:pPr>
              <w:pStyle w:val="23"/>
            </w:pPr>
            <w:r>
              <w:t>48.42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351.37</w:t>
            </w:r>
          </w:p>
        </w:tc>
        <w:tc>
          <w:tcPr>
            <w:tcW w:w="1361" w:type="dxa"/>
            <w:vAlign w:val="center"/>
          </w:tcPr>
          <w:p>
            <w:pPr>
              <w:pStyle w:val="23"/>
            </w:pPr>
            <w:r>
              <w:t>302.95</w:t>
            </w:r>
          </w:p>
        </w:tc>
        <w:tc>
          <w:tcPr>
            <w:tcW w:w="1361" w:type="dxa"/>
            <w:vAlign w:val="center"/>
          </w:tcPr>
          <w:p>
            <w:pPr>
              <w:pStyle w:val="23"/>
            </w:pPr>
            <w:r>
              <w:t>48.42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24.48</w:t>
            </w:r>
          </w:p>
        </w:tc>
        <w:tc>
          <w:tcPr>
            <w:tcW w:w="1361" w:type="dxa"/>
            <w:vAlign w:val="center"/>
          </w:tcPr>
          <w:p>
            <w:pPr>
              <w:pStyle w:val="23"/>
            </w:pPr>
            <w:r>
              <w:t>4.88</w:t>
            </w:r>
          </w:p>
        </w:tc>
        <w:tc>
          <w:tcPr>
            <w:tcW w:w="1361" w:type="dxa"/>
            <w:vAlign w:val="center"/>
          </w:tcPr>
          <w:p>
            <w:pPr>
              <w:pStyle w:val="23"/>
            </w:pPr>
            <w:r>
              <w:t>19.60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326.89</w:t>
            </w:r>
          </w:p>
        </w:tc>
        <w:tc>
          <w:tcPr>
            <w:tcW w:w="1361" w:type="dxa"/>
            <w:vAlign w:val="center"/>
          </w:tcPr>
          <w:p>
            <w:pPr>
              <w:pStyle w:val="23"/>
            </w:pPr>
            <w:r>
              <w:t>298.07</w:t>
            </w:r>
          </w:p>
        </w:tc>
        <w:tc>
          <w:tcPr>
            <w:tcW w:w="1361" w:type="dxa"/>
            <w:vAlign w:val="center"/>
          </w:tcPr>
          <w:p>
            <w:pPr>
              <w:pStyle w:val="23"/>
            </w:pPr>
            <w:r>
              <w:t>28.82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351.37</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351.37</w:t>
            </w:r>
          </w:p>
        </w:tc>
        <w:tc>
          <w:tcPr>
            <w:tcW w:w="1474" w:type="dxa"/>
            <w:vAlign w:val="center"/>
          </w:tcPr>
          <w:p>
            <w:pPr>
              <w:pStyle w:val="23"/>
            </w:pPr>
            <w:r>
              <w:t>351.37</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351.37</w:t>
            </w:r>
          </w:p>
        </w:tc>
        <w:tc>
          <w:tcPr>
            <w:tcW w:w="3402" w:type="dxa"/>
            <w:vAlign w:val="center"/>
          </w:tcPr>
          <w:p>
            <w:pPr>
              <w:pStyle w:val="26"/>
            </w:pPr>
            <w:r>
              <w:t>本年支出合计</w:t>
            </w:r>
          </w:p>
        </w:tc>
        <w:tc>
          <w:tcPr>
            <w:tcW w:w="1474" w:type="dxa"/>
            <w:vAlign w:val="center"/>
          </w:tcPr>
          <w:p>
            <w:pPr>
              <w:pStyle w:val="27"/>
            </w:pPr>
            <w:r>
              <w:t>351.37</w:t>
            </w:r>
          </w:p>
        </w:tc>
        <w:tc>
          <w:tcPr>
            <w:tcW w:w="1474" w:type="dxa"/>
            <w:vAlign w:val="center"/>
          </w:tcPr>
          <w:p>
            <w:pPr>
              <w:pStyle w:val="27"/>
            </w:pPr>
            <w:r>
              <w:t>351.37</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351.37</w:t>
            </w:r>
          </w:p>
        </w:tc>
        <w:tc>
          <w:tcPr>
            <w:tcW w:w="3402" w:type="dxa"/>
            <w:vAlign w:val="center"/>
          </w:tcPr>
          <w:p>
            <w:pPr>
              <w:pStyle w:val="26"/>
            </w:pPr>
            <w:r>
              <w:t>支出总计</w:t>
            </w:r>
          </w:p>
        </w:tc>
        <w:tc>
          <w:tcPr>
            <w:tcW w:w="1474" w:type="dxa"/>
            <w:vAlign w:val="center"/>
          </w:tcPr>
          <w:p>
            <w:pPr>
              <w:pStyle w:val="27"/>
            </w:pPr>
            <w:r>
              <w:t>351.37</w:t>
            </w:r>
          </w:p>
        </w:tc>
        <w:tc>
          <w:tcPr>
            <w:tcW w:w="1474" w:type="dxa"/>
            <w:vAlign w:val="center"/>
          </w:tcPr>
          <w:p>
            <w:pPr>
              <w:pStyle w:val="27"/>
            </w:pPr>
            <w:r>
              <w:t>351.37</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351.37</w:t>
            </w:r>
          </w:p>
        </w:tc>
        <w:tc>
          <w:tcPr>
            <w:tcW w:w="2551" w:type="dxa"/>
            <w:vAlign w:val="center"/>
          </w:tcPr>
          <w:p>
            <w:pPr>
              <w:pStyle w:val="27"/>
            </w:pPr>
            <w:r>
              <w:t>302.95</w:t>
            </w:r>
          </w:p>
        </w:tc>
        <w:tc>
          <w:tcPr>
            <w:tcW w:w="2551" w:type="dxa"/>
            <w:vAlign w:val="center"/>
          </w:tcPr>
          <w:p>
            <w:pPr>
              <w:pStyle w:val="27"/>
            </w:pPr>
            <w:r>
              <w:t>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351.37</w:t>
            </w:r>
          </w:p>
        </w:tc>
        <w:tc>
          <w:tcPr>
            <w:tcW w:w="2551" w:type="dxa"/>
            <w:vAlign w:val="center"/>
          </w:tcPr>
          <w:p>
            <w:pPr>
              <w:pStyle w:val="23"/>
            </w:pPr>
            <w:r>
              <w:t>302.95</w:t>
            </w:r>
          </w:p>
        </w:tc>
        <w:tc>
          <w:tcPr>
            <w:tcW w:w="2551" w:type="dxa"/>
            <w:vAlign w:val="center"/>
          </w:tcPr>
          <w:p>
            <w:pPr>
              <w:pStyle w:val="23"/>
            </w:pPr>
            <w:r>
              <w:t>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351.37</w:t>
            </w:r>
          </w:p>
        </w:tc>
        <w:tc>
          <w:tcPr>
            <w:tcW w:w="2551" w:type="dxa"/>
            <w:vAlign w:val="center"/>
          </w:tcPr>
          <w:p>
            <w:pPr>
              <w:pStyle w:val="23"/>
            </w:pPr>
            <w:r>
              <w:t>302.95</w:t>
            </w:r>
          </w:p>
        </w:tc>
        <w:tc>
          <w:tcPr>
            <w:tcW w:w="2551" w:type="dxa"/>
            <w:vAlign w:val="center"/>
          </w:tcPr>
          <w:p>
            <w:pPr>
              <w:pStyle w:val="23"/>
            </w:pPr>
            <w:r>
              <w:t>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24.48</w:t>
            </w:r>
          </w:p>
        </w:tc>
        <w:tc>
          <w:tcPr>
            <w:tcW w:w="2551" w:type="dxa"/>
            <w:vAlign w:val="center"/>
          </w:tcPr>
          <w:p>
            <w:pPr>
              <w:pStyle w:val="23"/>
            </w:pPr>
            <w:r>
              <w:t>4.88</w:t>
            </w:r>
          </w:p>
        </w:tc>
        <w:tc>
          <w:tcPr>
            <w:tcW w:w="2551" w:type="dxa"/>
            <w:vAlign w:val="center"/>
          </w:tcPr>
          <w:p>
            <w:pPr>
              <w:pStyle w:val="23"/>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326.89</w:t>
            </w:r>
          </w:p>
        </w:tc>
        <w:tc>
          <w:tcPr>
            <w:tcW w:w="2551" w:type="dxa"/>
            <w:vAlign w:val="center"/>
          </w:tcPr>
          <w:p>
            <w:pPr>
              <w:pStyle w:val="23"/>
            </w:pPr>
            <w:r>
              <w:t>298.07</w:t>
            </w:r>
          </w:p>
        </w:tc>
        <w:tc>
          <w:tcPr>
            <w:tcW w:w="2551" w:type="dxa"/>
            <w:vAlign w:val="center"/>
          </w:tcPr>
          <w:p>
            <w:pPr>
              <w:pStyle w:val="23"/>
            </w:pPr>
            <w:r>
              <w:t>28.82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302.95</w:t>
            </w:r>
          </w:p>
        </w:tc>
        <w:tc>
          <w:tcPr>
            <w:tcW w:w="2551" w:type="dxa"/>
            <w:vAlign w:val="center"/>
          </w:tcPr>
          <w:p>
            <w:pPr>
              <w:pStyle w:val="27"/>
            </w:pPr>
            <w:r>
              <w:t>294.22</w:t>
            </w:r>
          </w:p>
        </w:tc>
        <w:tc>
          <w:tcPr>
            <w:tcW w:w="2551" w:type="dxa"/>
            <w:vAlign w:val="center"/>
          </w:tcPr>
          <w:p>
            <w:pPr>
              <w:pStyle w:val="27"/>
            </w:pPr>
            <w:r>
              <w:t>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234.19</w:t>
            </w:r>
          </w:p>
        </w:tc>
        <w:tc>
          <w:tcPr>
            <w:tcW w:w="2551" w:type="dxa"/>
            <w:vAlign w:val="center"/>
          </w:tcPr>
          <w:p>
            <w:pPr>
              <w:pStyle w:val="23"/>
            </w:pPr>
            <w:r>
              <w:t>234.19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53.09</w:t>
            </w:r>
          </w:p>
        </w:tc>
        <w:tc>
          <w:tcPr>
            <w:tcW w:w="2551" w:type="dxa"/>
            <w:vAlign w:val="center"/>
          </w:tcPr>
          <w:p>
            <w:pPr>
              <w:pStyle w:val="23"/>
            </w:pPr>
            <w:r>
              <w:t>53.09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14.17</w:t>
            </w:r>
          </w:p>
        </w:tc>
        <w:tc>
          <w:tcPr>
            <w:tcW w:w="2551" w:type="dxa"/>
            <w:vAlign w:val="center"/>
          </w:tcPr>
          <w:p>
            <w:pPr>
              <w:pStyle w:val="23"/>
            </w:pPr>
            <w:r>
              <w:t>14.17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70.40</w:t>
            </w:r>
          </w:p>
        </w:tc>
        <w:tc>
          <w:tcPr>
            <w:tcW w:w="2551" w:type="dxa"/>
            <w:vAlign w:val="center"/>
          </w:tcPr>
          <w:p>
            <w:pPr>
              <w:pStyle w:val="23"/>
            </w:pPr>
            <w:r>
              <w:t>70.40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14.72</w:t>
            </w:r>
          </w:p>
        </w:tc>
        <w:tc>
          <w:tcPr>
            <w:tcW w:w="2551" w:type="dxa"/>
            <w:vAlign w:val="center"/>
          </w:tcPr>
          <w:p>
            <w:pPr>
              <w:pStyle w:val="23"/>
            </w:pPr>
            <w:r>
              <w:t>14.72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8.17</w:t>
            </w:r>
          </w:p>
        </w:tc>
        <w:tc>
          <w:tcPr>
            <w:tcW w:w="2551" w:type="dxa"/>
            <w:vAlign w:val="center"/>
          </w:tcPr>
          <w:p>
            <w:pPr>
              <w:pStyle w:val="23"/>
            </w:pPr>
            <w:r>
              <w:t>8.17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5.50</w:t>
            </w:r>
          </w:p>
        </w:tc>
        <w:tc>
          <w:tcPr>
            <w:tcW w:w="2551" w:type="dxa"/>
            <w:vAlign w:val="center"/>
          </w:tcPr>
          <w:p>
            <w:pPr>
              <w:pStyle w:val="23"/>
            </w:pPr>
            <w:r>
              <w:t>5.50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1.30</w:t>
            </w:r>
          </w:p>
        </w:tc>
        <w:tc>
          <w:tcPr>
            <w:tcW w:w="2551" w:type="dxa"/>
            <w:vAlign w:val="center"/>
          </w:tcPr>
          <w:p>
            <w:pPr>
              <w:pStyle w:val="23"/>
            </w:pPr>
            <w:r>
              <w:t>1.30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11.03</w:t>
            </w:r>
          </w:p>
        </w:tc>
        <w:tc>
          <w:tcPr>
            <w:tcW w:w="2551" w:type="dxa"/>
            <w:vAlign w:val="center"/>
          </w:tcPr>
          <w:p>
            <w:pPr>
              <w:pStyle w:val="23"/>
            </w:pPr>
            <w:r>
              <w:t>11.03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55.81</w:t>
            </w:r>
          </w:p>
        </w:tc>
        <w:tc>
          <w:tcPr>
            <w:tcW w:w="2551" w:type="dxa"/>
            <w:vAlign w:val="center"/>
          </w:tcPr>
          <w:p>
            <w:pPr>
              <w:pStyle w:val="23"/>
            </w:pPr>
            <w:r>
              <w:t>55.81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8.73</w:t>
            </w:r>
          </w:p>
        </w:tc>
        <w:tc>
          <w:tcPr>
            <w:tcW w:w="2551" w:type="dxa"/>
            <w:vAlign w:val="center"/>
          </w:tcPr>
          <w:p>
            <w:pPr>
              <w:pStyle w:val="23"/>
            </w:pPr>
          </w:p>
        </w:tc>
        <w:tc>
          <w:tcPr>
            <w:tcW w:w="2551" w:type="dxa"/>
            <w:vAlign w:val="center"/>
          </w:tcPr>
          <w:p>
            <w:pPr>
              <w:pStyle w:val="23"/>
            </w:pPr>
            <w:r>
              <w:t>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4.88</w:t>
            </w:r>
          </w:p>
        </w:tc>
        <w:tc>
          <w:tcPr>
            <w:tcW w:w="2551" w:type="dxa"/>
            <w:vAlign w:val="center"/>
          </w:tcPr>
          <w:p>
            <w:pPr>
              <w:pStyle w:val="23"/>
            </w:pPr>
          </w:p>
        </w:tc>
        <w:tc>
          <w:tcPr>
            <w:tcW w:w="2551" w:type="dxa"/>
            <w:vAlign w:val="center"/>
          </w:tcPr>
          <w:p>
            <w:pPr>
              <w:pStyle w:val="23"/>
            </w:pPr>
            <w:r>
              <w:t>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2.31</w:t>
            </w:r>
          </w:p>
        </w:tc>
        <w:tc>
          <w:tcPr>
            <w:tcW w:w="2551" w:type="dxa"/>
            <w:vAlign w:val="center"/>
          </w:tcPr>
          <w:p>
            <w:pPr>
              <w:pStyle w:val="23"/>
            </w:pPr>
          </w:p>
        </w:tc>
        <w:tc>
          <w:tcPr>
            <w:tcW w:w="2551" w:type="dxa"/>
            <w:vAlign w:val="center"/>
          </w:tcPr>
          <w:p>
            <w:pPr>
              <w:pStyle w:val="23"/>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1.54</w:t>
            </w:r>
          </w:p>
        </w:tc>
        <w:tc>
          <w:tcPr>
            <w:tcW w:w="2551" w:type="dxa"/>
            <w:vAlign w:val="center"/>
          </w:tcPr>
          <w:p>
            <w:pPr>
              <w:pStyle w:val="23"/>
            </w:pPr>
          </w:p>
        </w:tc>
        <w:tc>
          <w:tcPr>
            <w:tcW w:w="2551" w:type="dxa"/>
            <w:vAlign w:val="center"/>
          </w:tcPr>
          <w:p>
            <w:pPr>
              <w:pStyle w:val="23"/>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60.03</w:t>
            </w:r>
          </w:p>
        </w:tc>
        <w:tc>
          <w:tcPr>
            <w:tcW w:w="2551" w:type="dxa"/>
            <w:vAlign w:val="center"/>
          </w:tcPr>
          <w:p>
            <w:pPr>
              <w:pStyle w:val="23"/>
            </w:pPr>
            <w:r>
              <w:t>60.03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48.39</w:t>
            </w:r>
          </w:p>
        </w:tc>
        <w:tc>
          <w:tcPr>
            <w:tcW w:w="2551" w:type="dxa"/>
            <w:vAlign w:val="center"/>
          </w:tcPr>
          <w:p>
            <w:pPr>
              <w:pStyle w:val="23"/>
            </w:pPr>
            <w:r>
              <w:t>48.39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11.64</w:t>
            </w:r>
          </w:p>
        </w:tc>
        <w:tc>
          <w:tcPr>
            <w:tcW w:w="2551" w:type="dxa"/>
            <w:vAlign w:val="center"/>
          </w:tcPr>
          <w:p>
            <w:pPr>
              <w:pStyle w:val="23"/>
            </w:pPr>
            <w:r>
              <w:t>11.64</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501617霸州市扬芬港镇第一小学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6"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霸州市扬芬港镇第一小学2022年单位预算信息公开情况说明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按照《预算法》、《地方预决算公开操作规程》和《关于进一步推进预算公开工作的实施意见》规定，现将霸州市扬芬港镇第一小学2022年单位预算公开如下：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霸州市扬芬港镇第一小学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sz w:val="28"/>
          <w:szCs w:val="28"/>
        </w:rPr>
      </w:pPr>
      <w:r>
        <w:rPr>
          <w:rFonts w:eastAsia="方正仿宋_GBK"/>
          <w:color w:val="000000"/>
          <w:sz w:val="28"/>
          <w:szCs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351.37万元，其中：一般公共预算收入351.37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351.37万元，其中：基本支出302.95万元，包括：人员经费294.22万元和日常公用经费8.73万元；项目支出48.42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)19万元、关于提前下达2022年城乡义务教育省级补助资金预算的通知(公用经费)(冀财教[2021]168号) 9.09万元、城乡义务教育补助生均经费本级配套资金0.73万元、幼儿保教经费19.6万元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方正仿宋_GBK" w:hAnsi="仿宋" w:eastAsia="方正仿宋_GBK" w:cs="Times New Roman"/>
          <w:color w:val="000000" w:themeColor="text1"/>
          <w:sz w:val="28"/>
          <w:szCs w:val="28"/>
        </w:rPr>
      </w:pPr>
      <w:r>
        <w:rPr>
          <w:rFonts w:hint="eastAsia" w:ascii="方正仿宋_GBK" w:hAnsi="仿宋" w:eastAsia="方正仿宋_GBK" w:cs="Times New Roman"/>
          <w:color w:val="000000" w:themeColor="text1"/>
          <w:sz w:val="28"/>
          <w:szCs w:val="28"/>
        </w:rPr>
        <w:t>2022年预算收支安排351.37万元，较2021预算增加6.22万元，其中：基本支出减少42.2万元，主要为减少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支出；项目支出增加48.42万元，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)19万元、关于提前下达2022年城乡义务教育省级补助资金预算的通知(公用经费)(冀财教[2021]168号) 9.09万元、城乡义务教育补助生均经费本级配套资金0.73万元、幼儿保教经费19.6万元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2022年，我单位运行经费共计安排8.73万元，主要用于办公费、工会经费、福利费日常运行支出。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≥392人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≥392人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≥120人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≤19.6万元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2022年，霸州市扬芬港镇第一小学安排政府采购预算0.00万元。具体内容见下表。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501617霸州市扬芬港镇第一小学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ascii="方正仿宋_GBK" w:eastAsia="方正仿宋_GBK"/>
        </w:rPr>
      </w:pPr>
      <w:r>
        <w:rPr>
          <w:rFonts w:hint="eastAsia" w:ascii="方正仿宋_GBK" w:eastAsia="方正仿宋_GBK"/>
          <w:color w:val="000000"/>
          <w:sz w:val="28"/>
        </w:rPr>
        <w:t>霸州市扬芬港镇第一小学上年末固定资产金额为</w:t>
      </w:r>
      <w:r>
        <w:rPr>
          <w:rFonts w:hint="eastAsia" w:eastAsia="方正仿宋_GBK"/>
          <w:color w:val="000000"/>
          <w:sz w:val="28"/>
        </w:rPr>
        <w:t>182.17</w:t>
      </w:r>
      <w:r>
        <w:rPr>
          <w:rFonts w:hint="eastAsia" w:ascii="方正仿宋_GBK" w:eastAsia="方正仿宋_GBK"/>
          <w:color w:val="000000"/>
          <w:sz w:val="28"/>
        </w:rPr>
        <w:t>万元（详见下表）。本年度拟购置固定资产总额为</w:t>
      </w:r>
      <w:r>
        <w:rPr>
          <w:rFonts w:hint="eastAsia" w:eastAsia="方正仿宋_GBK"/>
          <w:color w:val="000000"/>
          <w:sz w:val="28"/>
        </w:rPr>
        <w:t>0.00</w:t>
      </w:r>
      <w:r>
        <w:rPr>
          <w:rFonts w:hint="eastAsia" w:ascii="方正仿宋_GBK" w:eastAsia="方正仿宋_GBK"/>
          <w:color w:val="000000"/>
          <w:sz w:val="28"/>
        </w:rPr>
        <w:t>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rPr>
                <w:lang w:eastAsia="zh-CN"/>
              </w:rPr>
            </w:pPr>
            <w:r>
              <w:t>501617霸州市扬芬港镇第一小学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kern w:val="0"/>
                <w:sz w:val="22"/>
              </w:rPr>
            </w:pPr>
            <w:r>
              <w:rPr>
                <w:rFonts w:hint="eastAsia" w:ascii="方正书宋_GBK" w:hAnsi="宋体" w:eastAsia="方正书宋_GBK" w:cs="宋体"/>
                <w:b/>
                <w:bCs/>
                <w:kern w:val="0"/>
                <w:sz w:val="22"/>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right"/>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182.17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ind w:firstLine="420"/>
              <w:rPr>
                <w:rFonts w:ascii="方正书宋_GBK" w:hAnsi="方正书宋_GBK" w:eastAsia="方正书宋_GBK" w:cs="方正书宋_GBK"/>
                <w:color w:val="000000"/>
              </w:rPr>
            </w:pPr>
          </w:p>
        </w:tc>
        <w:tc>
          <w:tcPr>
            <w:tcW w:w="2835" w:type="dxa"/>
            <w:vAlign w:val="center"/>
          </w:tcPr>
          <w:p>
            <w:pPr>
              <w:spacing w:line="500" w:lineRule="exact"/>
              <w:ind w:firstLine="420"/>
              <w:jc w:val="right"/>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ind w:firstLine="420"/>
              <w:rPr>
                <w:rFonts w:ascii="方正书宋_GBK" w:hAnsi="方正书宋_GBK" w:eastAsia="方正书宋_GBK" w:cs="方正书宋_GBK"/>
                <w:color w:val="000000"/>
              </w:rPr>
            </w:pPr>
          </w:p>
        </w:tc>
        <w:tc>
          <w:tcPr>
            <w:tcW w:w="2835" w:type="dxa"/>
            <w:vAlign w:val="center"/>
          </w:tcPr>
          <w:p>
            <w:pPr>
              <w:spacing w:line="500" w:lineRule="exact"/>
              <w:ind w:firstLine="420"/>
              <w:jc w:val="right"/>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rPr>
                <w:rFonts w:ascii="方正书宋_GBK" w:hAnsi="方正书宋_GBK" w:eastAsia="方正书宋_GBK" w:cs="方正书宋_GBK"/>
                <w:color w:val="000000"/>
              </w:rPr>
            </w:pPr>
          </w:p>
        </w:tc>
        <w:tc>
          <w:tcPr>
            <w:tcW w:w="2835" w:type="dxa"/>
            <w:vAlign w:val="center"/>
          </w:tcPr>
          <w:p>
            <w:pPr>
              <w:spacing w:line="500" w:lineRule="exact"/>
              <w:ind w:firstLine="420"/>
              <w:jc w:val="right"/>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rPr>
                <w:rFonts w:ascii="方正书宋_GBK" w:hAnsi="方正书宋_GBK" w:eastAsia="方正书宋_GBK" w:cs="方正书宋_GBK"/>
                <w:color w:val="000000"/>
              </w:rPr>
            </w:pPr>
          </w:p>
        </w:tc>
        <w:tc>
          <w:tcPr>
            <w:tcW w:w="2835" w:type="dxa"/>
            <w:vAlign w:val="center"/>
          </w:tcPr>
          <w:p>
            <w:pPr>
              <w:spacing w:line="500" w:lineRule="exact"/>
              <w:ind w:firstLine="420"/>
              <w:jc w:val="right"/>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16468</w:t>
            </w:r>
          </w:p>
        </w:tc>
        <w:tc>
          <w:tcPr>
            <w:tcW w:w="2835" w:type="dxa"/>
            <w:vAlign w:val="center"/>
          </w:tcPr>
          <w:p>
            <w:pPr>
              <w:spacing w:line="500" w:lineRule="exact"/>
              <w:ind w:firstLine="420"/>
              <w:jc w:val="right"/>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182.17</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color w:val="000000"/>
          <w:sz w:val="28"/>
        </w:rPr>
        <w:t>。</w:t>
      </w:r>
    </w:p>
    <w:p>
      <w:pPr>
        <w:pStyle w:val="8"/>
        <w:widowControl/>
        <w:tabs>
          <w:tab w:val="right" w:leader="dot" w:pos="14562"/>
        </w:tabs>
        <w:spacing w:before="120" w:after="0" w:line="400" w:lineRule="exact"/>
        <w:rPr>
          <w:rFonts w:ascii="Times New Roman" w:hAnsi="Times New Roman" w:cs="Times New Roman" w:eastAsiaTheme="minorEastAsia"/>
          <w:b w:val="0"/>
          <w:bCs w:val="0"/>
          <w:caps w:val="0"/>
          <w:color w:val="000000"/>
          <w:kern w:val="0"/>
          <w:sz w:val="28"/>
          <w:szCs w:val="24"/>
          <w:u w:val="none"/>
          <w:lang w:val="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37088"/>
    <w:rsid w:val="000376FB"/>
    <w:rsid w:val="000672B5"/>
    <w:rsid w:val="000B1FBC"/>
    <w:rsid w:val="0012224C"/>
    <w:rsid w:val="0012495D"/>
    <w:rsid w:val="00137C87"/>
    <w:rsid w:val="00152A18"/>
    <w:rsid w:val="001532E6"/>
    <w:rsid w:val="001741E2"/>
    <w:rsid w:val="001857EB"/>
    <w:rsid w:val="00194809"/>
    <w:rsid w:val="001A709F"/>
    <w:rsid w:val="001E224A"/>
    <w:rsid w:val="001E79C5"/>
    <w:rsid w:val="0021116C"/>
    <w:rsid w:val="00255DF2"/>
    <w:rsid w:val="00256B8A"/>
    <w:rsid w:val="00290153"/>
    <w:rsid w:val="002971E4"/>
    <w:rsid w:val="002A032E"/>
    <w:rsid w:val="002E2B78"/>
    <w:rsid w:val="002F08AC"/>
    <w:rsid w:val="00374366"/>
    <w:rsid w:val="003851F6"/>
    <w:rsid w:val="003A5765"/>
    <w:rsid w:val="003D7AE5"/>
    <w:rsid w:val="00402F88"/>
    <w:rsid w:val="00426428"/>
    <w:rsid w:val="00453B59"/>
    <w:rsid w:val="00477F30"/>
    <w:rsid w:val="004B175D"/>
    <w:rsid w:val="00527018"/>
    <w:rsid w:val="00595AC7"/>
    <w:rsid w:val="005B38A3"/>
    <w:rsid w:val="005C45C8"/>
    <w:rsid w:val="005F45A0"/>
    <w:rsid w:val="005F6FFB"/>
    <w:rsid w:val="006014CB"/>
    <w:rsid w:val="00617901"/>
    <w:rsid w:val="0065038D"/>
    <w:rsid w:val="00655A0D"/>
    <w:rsid w:val="00677DE3"/>
    <w:rsid w:val="006E736C"/>
    <w:rsid w:val="006F7889"/>
    <w:rsid w:val="0073714E"/>
    <w:rsid w:val="00745279"/>
    <w:rsid w:val="007879EE"/>
    <w:rsid w:val="007C4294"/>
    <w:rsid w:val="008012AC"/>
    <w:rsid w:val="0084223A"/>
    <w:rsid w:val="0086701C"/>
    <w:rsid w:val="00893CF5"/>
    <w:rsid w:val="008D6338"/>
    <w:rsid w:val="00943F50"/>
    <w:rsid w:val="009A7D34"/>
    <w:rsid w:val="009B7838"/>
    <w:rsid w:val="00A2050D"/>
    <w:rsid w:val="00A27F79"/>
    <w:rsid w:val="00A47AEE"/>
    <w:rsid w:val="00A5092D"/>
    <w:rsid w:val="00A84793"/>
    <w:rsid w:val="00A930E1"/>
    <w:rsid w:val="00AA0D72"/>
    <w:rsid w:val="00AF14AF"/>
    <w:rsid w:val="00AF49AE"/>
    <w:rsid w:val="00B227E8"/>
    <w:rsid w:val="00B348C9"/>
    <w:rsid w:val="00B4796E"/>
    <w:rsid w:val="00B65E1B"/>
    <w:rsid w:val="00B94930"/>
    <w:rsid w:val="00BD0B38"/>
    <w:rsid w:val="00BE2C61"/>
    <w:rsid w:val="00BF7FCF"/>
    <w:rsid w:val="00C04DB6"/>
    <w:rsid w:val="00C11A9B"/>
    <w:rsid w:val="00CC161C"/>
    <w:rsid w:val="00D437C0"/>
    <w:rsid w:val="00D440C1"/>
    <w:rsid w:val="00D60251"/>
    <w:rsid w:val="00D64D5C"/>
    <w:rsid w:val="00D7728C"/>
    <w:rsid w:val="00D8363A"/>
    <w:rsid w:val="00DC135A"/>
    <w:rsid w:val="00DC7889"/>
    <w:rsid w:val="00DD4DB6"/>
    <w:rsid w:val="00E40DB1"/>
    <w:rsid w:val="00E67AB0"/>
    <w:rsid w:val="00ED484C"/>
    <w:rsid w:val="00EE7CA1"/>
    <w:rsid w:val="00F00C94"/>
    <w:rsid w:val="00F11302"/>
    <w:rsid w:val="00F22575"/>
    <w:rsid w:val="00F25729"/>
    <w:rsid w:val="00F73A9C"/>
    <w:rsid w:val="00F83993"/>
    <w:rsid w:val="00FE390D"/>
    <w:rsid w:val="6A441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1290</Words>
  <Characters>7355</Characters>
  <Lines>61</Lines>
  <Paragraphs>17</Paragraphs>
  <TotalTime>141</TotalTime>
  <ScaleCrop>false</ScaleCrop>
  <LinksUpToDate>false</LinksUpToDate>
  <CharactersWithSpaces>8628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2023-08-14T11:12:41Z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89BC6AFDA1CC4224B160EB3BA5694EBA_12</vt:lpwstr>
  </property>
</Properties>
</file>